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02" w:rsidRDefault="00946A02">
      <w:pPr>
        <w:pStyle w:val="BodyTex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46A02" w:rsidRPr="00946A02" w:rsidRDefault="00946A02" w:rsidP="00946A02">
      <w:pPr>
        <w:pStyle w:val="BodyText"/>
        <w:spacing w:before="52"/>
        <w:ind w:left="556" w:right="768" w:firstLine="164"/>
        <w:jc w:val="center"/>
        <w:rPr>
          <w:rFonts w:asciiTheme="minorHAnsi" w:hAnsiTheme="minorHAnsi" w:cstheme="minorHAnsi"/>
          <w:b/>
          <w:color w:val="231F20"/>
          <w:sz w:val="96"/>
          <w:szCs w:val="96"/>
          <w:u w:val="single"/>
        </w:rPr>
      </w:pPr>
      <w:r w:rsidRPr="00946A02">
        <w:rPr>
          <w:rFonts w:asciiTheme="minorHAnsi" w:hAnsiTheme="minorHAnsi" w:cstheme="minorHAnsi"/>
          <w:b/>
          <w:color w:val="231F20"/>
          <w:sz w:val="96"/>
          <w:szCs w:val="96"/>
          <w:u w:val="single"/>
        </w:rPr>
        <w:t xml:space="preserve">Evidencing the Impact of the Primary PE &amp; Sports Premium </w:t>
      </w:r>
    </w:p>
    <w:p w:rsidR="00946A02" w:rsidRDefault="00946A02" w:rsidP="00946A02">
      <w:pPr>
        <w:pStyle w:val="BodyText"/>
        <w:spacing w:before="52"/>
        <w:ind w:left="556" w:right="768" w:hanging="140"/>
        <w:jc w:val="center"/>
        <w:rPr>
          <w:rFonts w:asciiTheme="minorHAnsi" w:hAnsiTheme="minorHAnsi" w:cstheme="minorHAnsi"/>
          <w:b/>
          <w:color w:val="231F20"/>
          <w:sz w:val="96"/>
          <w:szCs w:val="96"/>
          <w:u w:val="single"/>
        </w:rPr>
      </w:pPr>
      <w:r w:rsidRPr="00946A02">
        <w:rPr>
          <w:rFonts w:asciiTheme="minorHAnsi" w:hAnsiTheme="minorHAnsi" w:cstheme="minorHAnsi"/>
          <w:b/>
          <w:color w:val="231F20"/>
          <w:sz w:val="96"/>
          <w:szCs w:val="96"/>
          <w:u w:val="single"/>
        </w:rPr>
        <w:t>2020-2021</w:t>
      </w:r>
    </w:p>
    <w:p w:rsidR="00946A02" w:rsidRPr="00946A02" w:rsidRDefault="00946A02" w:rsidP="00946A02">
      <w:pPr>
        <w:pStyle w:val="BodyText"/>
        <w:spacing w:before="52"/>
        <w:ind w:left="556" w:right="768" w:hanging="140"/>
        <w:jc w:val="center"/>
        <w:rPr>
          <w:rFonts w:asciiTheme="minorHAnsi" w:hAnsiTheme="minorHAnsi" w:cstheme="minorHAnsi"/>
          <w:b/>
          <w:color w:val="231F20"/>
          <w:sz w:val="96"/>
          <w:szCs w:val="96"/>
          <w:u w:val="single"/>
        </w:rPr>
      </w:pPr>
      <w:r>
        <w:rPr>
          <w:rFonts w:asciiTheme="minorHAnsi" w:hAnsiTheme="minorHAnsi" w:cstheme="minorHAnsi"/>
          <w:b/>
          <w:noProof/>
          <w:color w:val="231F20"/>
          <w:sz w:val="96"/>
          <w:szCs w:val="96"/>
          <w:u w:val="single"/>
          <w:lang w:bidi="ar-SA"/>
        </w:rPr>
        <w:drawing>
          <wp:inline distT="0" distB="0" distL="0" distR="0">
            <wp:extent cx="2367823" cy="1628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973" cy="16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02" w:rsidRDefault="00946A02" w:rsidP="00946A02">
      <w:pPr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8E77E5" w:rsidRPr="00331875" w:rsidRDefault="00FB0927">
      <w:pPr>
        <w:pStyle w:val="BodyText"/>
        <w:rPr>
          <w:rFonts w:asciiTheme="minorHAnsi" w:hAnsiTheme="minorHAnsi" w:cstheme="minorHAnsi"/>
          <w:sz w:val="20"/>
        </w:rPr>
      </w:pPr>
      <w:r w:rsidRPr="00331875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A9" w:rsidRDefault="006F6CA9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F6CA9" w:rsidRDefault="006F6CA9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:rsidRPr="00331875">
        <w:trPr>
          <w:trHeight w:val="497"/>
        </w:trPr>
        <w:tc>
          <w:tcPr>
            <w:tcW w:w="7700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Key achi</w:t>
            </w:r>
            <w:r w:rsidR="00522D51" w:rsidRPr="00331875">
              <w:rPr>
                <w:rFonts w:asciiTheme="minorHAnsi" w:hAnsiTheme="minorHAnsi" w:cstheme="minorHAnsi"/>
                <w:color w:val="231F20"/>
                <w:sz w:val="24"/>
              </w:rPr>
              <w:t>evements to date until July 2021</w:t>
            </w: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8E77E5" w:rsidRPr="00331875">
        <w:trPr>
          <w:trHeight w:val="2551"/>
        </w:trPr>
        <w:tc>
          <w:tcPr>
            <w:tcW w:w="7700" w:type="dxa"/>
          </w:tcPr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 xml:space="preserve">We achieved </w:t>
            </w:r>
            <w:r w:rsidRPr="00331875">
              <w:rPr>
                <w:rFonts w:asciiTheme="minorHAnsi" w:hAnsiTheme="minorHAnsi" w:cstheme="minorHAnsi"/>
                <w:b/>
                <w:sz w:val="24"/>
              </w:rPr>
              <w:t>Gold</w:t>
            </w:r>
            <w:r w:rsidRPr="00331875">
              <w:rPr>
                <w:rFonts w:asciiTheme="minorHAnsi" w:hAnsiTheme="minorHAnsi" w:cstheme="minorHAnsi"/>
                <w:sz w:val="24"/>
              </w:rPr>
              <w:t xml:space="preserve"> on the School Games Mark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We developed our Young Sports Leaders.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All children now participate in an extra 30 minutes of timetabled physical activity (Fitness Challenge).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New sports have been introduced.</w:t>
            </w:r>
          </w:p>
          <w:p w:rsidR="008E77E5" w:rsidRPr="00331875" w:rsidRDefault="008642F1" w:rsidP="008642F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A time table for increasing the amount of PE taught was developed.</w:t>
            </w:r>
          </w:p>
        </w:tc>
        <w:tc>
          <w:tcPr>
            <w:tcW w:w="7677" w:type="dxa"/>
          </w:tcPr>
          <w:p w:rsidR="008642F1" w:rsidRPr="00331875" w:rsidRDefault="00522D5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 xml:space="preserve">Provide a Covid-19 secure learning environment                                       </w:t>
            </w:r>
            <w:r w:rsidR="008642F1" w:rsidRPr="00331875">
              <w:rPr>
                <w:rFonts w:asciiTheme="minorHAnsi" w:hAnsiTheme="minorHAnsi" w:cstheme="minorHAnsi"/>
                <w:sz w:val="24"/>
              </w:rPr>
              <w:t>Increase the amount of promotion of The School Games on social media.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Encourage more children to be active on their way to school.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Increase and renew the sport resources in school.</w:t>
            </w:r>
          </w:p>
          <w:p w:rsidR="008642F1" w:rsidRPr="00331875" w:rsidRDefault="008642F1" w:rsidP="008642F1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Provide CPD training for staff.</w:t>
            </w:r>
          </w:p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331875" w:rsidTr="006F6CA9">
        <w:trPr>
          <w:trHeight w:val="405"/>
        </w:trPr>
        <w:tc>
          <w:tcPr>
            <w:tcW w:w="11603" w:type="dxa"/>
          </w:tcPr>
          <w:p w:rsidR="008E77E5" w:rsidRPr="00331875" w:rsidRDefault="006F6CA9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 w:rsidTr="006F6CA9">
        <w:trPr>
          <w:trHeight w:val="1283"/>
        </w:trPr>
        <w:tc>
          <w:tcPr>
            <w:tcW w:w="11603" w:type="dxa"/>
          </w:tcPr>
          <w:p w:rsidR="008E77E5" w:rsidRPr="00331875" w:rsidRDefault="006F6CA9">
            <w:pPr>
              <w:pStyle w:val="TableParagraph"/>
              <w:spacing w:before="22" w:line="235" w:lineRule="auto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331875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:rsidR="008E77E5" w:rsidRPr="00331875" w:rsidRDefault="006F6CA9">
            <w:pPr>
              <w:pStyle w:val="TableParagraph"/>
              <w:spacing w:line="312" w:lineRule="exact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8E77E5" w:rsidRPr="00331875" w:rsidRDefault="006F6CA9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6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 school at the end of the summer term 2020.</w:t>
            </w:r>
          </w:p>
        </w:tc>
        <w:tc>
          <w:tcPr>
            <w:tcW w:w="3777" w:type="dxa"/>
          </w:tcPr>
          <w:p w:rsidR="008E77E5" w:rsidRPr="00331875" w:rsidRDefault="008642F1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92</w:t>
            </w:r>
            <w:r w:rsidR="006F6CA9" w:rsidRPr="00331875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8E77E5" w:rsidRPr="00331875" w:rsidTr="006F6CA9">
        <w:trPr>
          <w:trHeight w:val="1189"/>
        </w:trPr>
        <w:tc>
          <w:tcPr>
            <w:tcW w:w="11603" w:type="dxa"/>
          </w:tcPr>
          <w:p w:rsidR="008E77E5" w:rsidRPr="00331875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331875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8E77E5" w:rsidRPr="00331875" w:rsidRDefault="008642F1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92</w:t>
            </w:r>
            <w:r w:rsidR="006F6CA9" w:rsidRPr="00331875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8E77E5" w:rsidRPr="00331875" w:rsidTr="006F6CA9">
        <w:trPr>
          <w:trHeight w:val="1227"/>
        </w:trPr>
        <w:tc>
          <w:tcPr>
            <w:tcW w:w="11603" w:type="dxa"/>
          </w:tcPr>
          <w:p w:rsidR="008E77E5" w:rsidRPr="00331875" w:rsidRDefault="006F6CA9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8E77E5" w:rsidRPr="00331875" w:rsidRDefault="008642F1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93</w:t>
            </w:r>
            <w:r w:rsidR="006F6CA9" w:rsidRPr="00331875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8E77E5" w:rsidRPr="00331875" w:rsidTr="006F6CA9">
        <w:trPr>
          <w:trHeight w:val="1160"/>
        </w:trPr>
        <w:tc>
          <w:tcPr>
            <w:tcW w:w="11603" w:type="dxa"/>
          </w:tcPr>
          <w:p w:rsidR="008E77E5" w:rsidRPr="00331875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331875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331875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331875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331875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331875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331875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8E77E5" w:rsidRPr="00331875" w:rsidRDefault="008642F1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6"/>
              </w:rPr>
              <w:t>Yes</w:t>
            </w:r>
          </w:p>
        </w:tc>
      </w:tr>
    </w:tbl>
    <w:p w:rsidR="008E77E5" w:rsidRPr="00331875" w:rsidRDefault="008E77E5">
      <w:pPr>
        <w:rPr>
          <w:rFonts w:asciiTheme="minorHAnsi" w:hAnsiTheme="minorHAnsi" w:cstheme="minorHAnsi"/>
          <w:sz w:val="26"/>
        </w:rPr>
        <w:sectPr w:rsidR="008E77E5" w:rsidRPr="00331875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E77E5" w:rsidRPr="00331875" w:rsidRDefault="00FB0927">
      <w:pPr>
        <w:pStyle w:val="BodyText"/>
        <w:rPr>
          <w:rFonts w:asciiTheme="minorHAnsi" w:hAnsiTheme="minorHAnsi" w:cstheme="minorHAnsi"/>
          <w:sz w:val="20"/>
        </w:rPr>
      </w:pPr>
      <w:r w:rsidRPr="00331875">
        <w:rPr>
          <w:rFonts w:asciiTheme="minorHAnsi" w:hAnsiTheme="minorHAnsi" w:cstheme="minorHAns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A9" w:rsidRDefault="006F6CA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6F6CA9" w:rsidRDefault="006F6CA9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1PpjpV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F6CA9" w:rsidRDefault="006F6CA9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6F6CA9" w:rsidRDefault="006F6CA9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331875">
        <w:trPr>
          <w:trHeight w:val="383"/>
        </w:trPr>
        <w:tc>
          <w:tcPr>
            <w:tcW w:w="3720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="005C2A5F" w:rsidRPr="00331875">
              <w:rPr>
                <w:rFonts w:asciiTheme="minorHAnsi" w:hAnsiTheme="minorHAnsi" w:cstheme="minorHAnsi"/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781DB4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="00781DB4"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£20460</w:t>
            </w:r>
          </w:p>
          <w:p w:rsidR="00781DB4" w:rsidRPr="00331875" w:rsidRDefault="00781DB4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plus</w:t>
            </w:r>
          </w:p>
          <w:p w:rsidR="008E77E5" w:rsidRPr="00331875" w:rsidRDefault="00781DB4" w:rsidP="00781DB4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2019/20 Surplus due to Covid-19 lockdown restrictions: </w:t>
            </w:r>
            <w:r w:rsidR="006F6CA9"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£</w:t>
            </w: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10082.38</w:t>
            </w:r>
          </w:p>
          <w:p w:rsidR="00781DB4" w:rsidRPr="00331875" w:rsidRDefault="00781DB4" w:rsidP="00781DB4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</w:p>
          <w:p w:rsidR="00781DB4" w:rsidRPr="00331875" w:rsidRDefault="00781DB4" w:rsidP="00781DB4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F0000"/>
                <w:sz w:val="24"/>
              </w:rPr>
              <w:t>Total to spend 20/21: 30542.38</w:t>
            </w:r>
          </w:p>
        </w:tc>
        <w:tc>
          <w:tcPr>
            <w:tcW w:w="4923" w:type="dxa"/>
            <w:gridSpan w:val="2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D11A16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17.3.21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>
        <w:trPr>
          <w:trHeight w:val="332"/>
        </w:trPr>
        <w:tc>
          <w:tcPr>
            <w:tcW w:w="12243" w:type="dxa"/>
            <w:gridSpan w:val="4"/>
            <w:vMerge w:val="restart"/>
          </w:tcPr>
          <w:p w:rsidR="008E77E5" w:rsidRPr="00331875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1: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 xml:space="preserve">The engagement of </w:t>
            </w:r>
            <w:r w:rsidR="0081569E">
              <w:rPr>
                <w:rFonts w:asciiTheme="minorHAnsi" w:hAnsiTheme="minorHAnsi" w:cstheme="minorHAnsi"/>
                <w:color w:val="F26522"/>
                <w:sz w:val="24"/>
                <w:u w:val="single" w:color="F26522"/>
              </w:rPr>
              <w:t xml:space="preserve">all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>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8E77E5" w:rsidRPr="00331875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331875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331875" w:rsidRDefault="008E7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331875" w:rsidRDefault="006F6CA9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8E77E5" w:rsidRPr="00331875">
        <w:trPr>
          <w:trHeight w:val="390"/>
        </w:trPr>
        <w:tc>
          <w:tcPr>
            <w:tcW w:w="3720" w:type="dxa"/>
          </w:tcPr>
          <w:p w:rsidR="008E77E5" w:rsidRPr="00331875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331875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331875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>
        <w:trPr>
          <w:trHeight w:val="1472"/>
        </w:trPr>
        <w:tc>
          <w:tcPr>
            <w:tcW w:w="3720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331875" w:rsidRDefault="006F6CA9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they need to learn and to</w:t>
            </w:r>
          </w:p>
          <w:p w:rsidR="008E77E5" w:rsidRPr="00331875" w:rsidRDefault="006F6CA9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  <w:p w:rsidR="001F1BFD" w:rsidRPr="00331875" w:rsidRDefault="001F1BFD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1F1BFD" w:rsidRPr="00331875" w:rsidRDefault="001F1BFD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1F1BFD" w:rsidRPr="00331875" w:rsidRDefault="001F1BFD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8E77E5" w:rsidRPr="00331875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Evidence of impact: what do pupils now know and what can</w:t>
            </w:r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  <w:proofErr w:type="gramStart"/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proofErr w:type="gramEnd"/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 xml:space="preserve"> now do? What has changed?</w:t>
            </w:r>
          </w:p>
        </w:tc>
        <w:tc>
          <w:tcPr>
            <w:tcW w:w="3134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331875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E36AE5" w:rsidRPr="00331875" w:rsidRDefault="00FA5C7F" w:rsidP="00B04F33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Encourage children to increase their activity levels.</w:t>
            </w:r>
          </w:p>
          <w:p w:rsidR="00FA5C7F" w:rsidRPr="00331875" w:rsidRDefault="00FA5C7F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E36AE5" w:rsidRPr="00331875" w:rsidRDefault="00E36AE5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E36AE5" w:rsidRPr="00331875" w:rsidRDefault="00E36AE5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B04F33" w:rsidRPr="00331875" w:rsidRDefault="00B04F33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B04F33" w:rsidRPr="00331875" w:rsidRDefault="00B04F33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5A6EA5" w:rsidRPr="00331875" w:rsidRDefault="005A6EA5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5A6EA5" w:rsidRPr="00331875" w:rsidRDefault="005A6EA5" w:rsidP="00B04F33">
            <w:pPr>
              <w:rPr>
                <w:rFonts w:asciiTheme="minorHAnsi" w:hAnsiTheme="minorHAnsi" w:cstheme="minorHAnsi"/>
                <w:sz w:val="24"/>
              </w:rPr>
            </w:pPr>
          </w:p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FA5C7F" w:rsidRDefault="00331875" w:rsidP="00A60466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Repair crawl tunnel and hill in EYFS area to encourage further physical activity and gross motor skill development.</w:t>
            </w:r>
          </w:p>
          <w:p w:rsidR="00DD395D" w:rsidRDefault="00DD395D" w:rsidP="00A60466">
            <w:pPr>
              <w:rPr>
                <w:rFonts w:asciiTheme="minorHAnsi" w:hAnsiTheme="minorHAnsi" w:cstheme="minorHAnsi"/>
                <w:sz w:val="24"/>
              </w:rPr>
            </w:pPr>
          </w:p>
          <w:p w:rsidR="00DD395D" w:rsidRPr="00331875" w:rsidRDefault="00DD395D" w:rsidP="00A60466">
            <w:pPr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A60466">
            <w:pPr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A60466">
            <w:pPr>
              <w:rPr>
                <w:rFonts w:asciiTheme="minorHAnsi" w:hAnsiTheme="minorHAnsi" w:cstheme="minorHAnsi"/>
                <w:sz w:val="24"/>
              </w:rPr>
            </w:pPr>
          </w:p>
          <w:p w:rsidR="00E36AE5" w:rsidRDefault="00331875" w:rsidP="00B04F33">
            <w:pPr>
              <w:rPr>
                <w:rFonts w:asciiTheme="minorHAnsi" w:hAnsiTheme="minorHAnsi" w:cstheme="minorHAnsi"/>
              </w:rPr>
            </w:pPr>
            <w:r w:rsidRPr="00331875">
              <w:rPr>
                <w:rFonts w:asciiTheme="minorHAnsi" w:hAnsiTheme="minorHAnsi" w:cstheme="minorHAnsi"/>
              </w:rPr>
              <w:t>Purchase paint and hire a painter to create playground markings in each Bubble zone to ensure children are physically active.</w:t>
            </w:r>
          </w:p>
          <w:p w:rsidR="00F3118F" w:rsidRDefault="00F3118F" w:rsidP="00B04F33">
            <w:pPr>
              <w:rPr>
                <w:rFonts w:asciiTheme="minorHAnsi" w:hAnsiTheme="minorHAnsi" w:cstheme="minorHAnsi"/>
              </w:rPr>
            </w:pPr>
          </w:p>
          <w:p w:rsidR="00F3118F" w:rsidRDefault="00F3118F" w:rsidP="00B04F33">
            <w:pPr>
              <w:rPr>
                <w:rFonts w:asciiTheme="minorHAnsi" w:hAnsiTheme="minorHAnsi" w:cstheme="minorHAnsi"/>
              </w:rPr>
            </w:pPr>
          </w:p>
          <w:p w:rsidR="00F3118F" w:rsidRDefault="00F3118F" w:rsidP="00B04F33">
            <w:pPr>
              <w:rPr>
                <w:rFonts w:asciiTheme="minorHAnsi" w:hAnsiTheme="minorHAnsi" w:cstheme="minorHAnsi"/>
              </w:rPr>
            </w:pPr>
          </w:p>
          <w:p w:rsidR="0081569E" w:rsidRDefault="0081569E" w:rsidP="00B04F33">
            <w:pPr>
              <w:rPr>
                <w:rFonts w:asciiTheme="minorHAnsi" w:hAnsiTheme="minorHAnsi" w:cstheme="minorHAnsi"/>
              </w:rPr>
            </w:pPr>
          </w:p>
          <w:p w:rsidR="00331875" w:rsidRDefault="00331875" w:rsidP="00B04F33">
            <w:pPr>
              <w:rPr>
                <w:rFonts w:asciiTheme="minorHAnsi" w:hAnsiTheme="minorHAnsi" w:cstheme="minorHAnsi"/>
              </w:rPr>
            </w:pPr>
          </w:p>
          <w:p w:rsidR="00331875" w:rsidRDefault="00331875" w:rsidP="00B04F33">
            <w:pPr>
              <w:rPr>
                <w:rFonts w:asciiTheme="minorHAnsi" w:hAnsiTheme="minorHAnsi" w:cstheme="minorHAnsi"/>
              </w:rPr>
            </w:pPr>
          </w:p>
          <w:p w:rsidR="00331875" w:rsidRPr="00331875" w:rsidRDefault="00331875" w:rsidP="00B04F33">
            <w:pPr>
              <w:rPr>
                <w:rFonts w:asciiTheme="minorHAnsi" w:hAnsiTheme="minorHAnsi" w:cstheme="minorHAnsi"/>
                <w:sz w:val="24"/>
              </w:rPr>
            </w:pPr>
            <w:r w:rsidRPr="004E3986">
              <w:t>Purchase Bubble playtime resources for break time to ensure children continue to be physically active.</w:t>
            </w:r>
          </w:p>
          <w:p w:rsidR="00FA5C7F" w:rsidRPr="00331875" w:rsidRDefault="00FA5C7F" w:rsidP="00B04F3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A5C7F" w:rsidRPr="00331875" w:rsidRDefault="00FA5C7F" w:rsidP="00B04F3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E77E5" w:rsidRPr="00331875" w:rsidRDefault="002C3D62" w:rsidP="00B04F3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Renovate existing trim trail to encourage more physical activity during breaks and lunchtime.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31875" w:rsidRP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£2498</w:t>
            </w:r>
          </w:p>
          <w:p w:rsidR="00331875" w:rsidRP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C65A4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D395D" w:rsidRDefault="00DD395D" w:rsidP="003318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D395D" w:rsidRDefault="00DD395D" w:rsidP="003318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31875" w:rsidRPr="00331875" w:rsidRDefault="00331875" w:rsidP="003318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£400 markings</w:t>
            </w: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£539 paint</w:t>
            </w:r>
          </w:p>
          <w:p w:rsidR="00F3118F" w:rsidRDefault="00F3118F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3118F" w:rsidRDefault="00F3118F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3118F" w:rsidRDefault="00F3118F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31875" w:rsidRDefault="00331875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£661.96</w:t>
            </w:r>
          </w:p>
          <w:p w:rsidR="00D11A16" w:rsidRDefault="00D11A16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11A16" w:rsidRDefault="00D11A16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11A16" w:rsidRDefault="00D11A16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3095D" w:rsidRDefault="0003095D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11A16" w:rsidRDefault="00D11A16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£20453.42</w:t>
            </w:r>
          </w:p>
          <w:p w:rsidR="00D11A16" w:rsidRPr="00331875" w:rsidRDefault="00D11A16" w:rsidP="0033187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E77E5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EYFS children are now able to access the hill feature and continue to develop their activity levels and gross motor skills.</w:t>
            </w: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D395D" w:rsidRDefault="00DD3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D395D" w:rsidRDefault="00DD3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now have access to more structured play outside. The playground markings have encouraged greater participation</w:t>
            </w: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active play.</w:t>
            </w:r>
          </w:p>
          <w:p w:rsidR="00F3118F" w:rsidRDefault="00F3118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3118F" w:rsidRDefault="00F3118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3118F" w:rsidRDefault="00F3118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1569E" w:rsidRDefault="0081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More pupils now have greater access to playtime resources</w:t>
            </w:r>
            <w:r w:rsidR="0003095D">
              <w:rPr>
                <w:rFonts w:asciiTheme="minorHAnsi" w:hAnsiTheme="minorHAnsi" w:cstheme="minorHAnsi"/>
                <w:sz w:val="24"/>
              </w:rPr>
              <w:t>. There has been an increase in the amount of physical activity.</w:t>
            </w:r>
          </w:p>
          <w:p w:rsidR="0003095D" w:rsidRDefault="00030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3095D" w:rsidRPr="00331875" w:rsidRDefault="00030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has enabled children to challenge themselves physically. It has had an impact upon their</w:t>
            </w:r>
            <w:r w:rsidR="00421454">
              <w:rPr>
                <w:rFonts w:asciiTheme="minorHAnsi" w:hAnsiTheme="minorHAnsi" w:cstheme="minorHAnsi"/>
                <w:sz w:val="24"/>
              </w:rPr>
              <w:t xml:space="preserve"> physical development resilience, determination.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E77E5" w:rsidRDefault="00DD3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the tunnel and hill are regularly maintained so the children can continue to develop their gross motor skills.</w:t>
            </w:r>
          </w:p>
          <w:p w:rsidR="00677C6D" w:rsidRDefault="00677C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77C6D" w:rsidRDefault="00677C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77C6D" w:rsidRDefault="00677C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77C6D" w:rsidRDefault="00677C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77C6D" w:rsidRDefault="00677C6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the playground markings are regularly maintained.</w:t>
            </w:r>
            <w:r w:rsidR="00F3118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DD395D" w:rsidRDefault="00F3118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Train the sport leaders to engage the children in play using the playground markings</w:t>
            </w:r>
            <w:r w:rsidR="00DD395D">
              <w:rPr>
                <w:rFonts w:asciiTheme="minorHAnsi" w:hAnsiTheme="minorHAnsi" w:cstheme="minorHAnsi"/>
                <w:sz w:val="24"/>
              </w:rPr>
              <w:t>.</w:t>
            </w:r>
          </w:p>
          <w:p w:rsidR="00DD395D" w:rsidRDefault="00DD3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3118F" w:rsidRDefault="00F3118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DD395D" w:rsidRDefault="00DD39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D395D" w:rsidRDefault="004214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the resources replenished regularly. Ensure the sport leaders carry out a termly audit of the equipment.</w:t>
            </w:r>
          </w:p>
          <w:p w:rsidR="00421454" w:rsidRDefault="004214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421454" w:rsidRPr="00331875" w:rsidRDefault="004214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Provide staff with CPD on how to use the trim trail to develop gross motor skills.</w:t>
            </w:r>
          </w:p>
        </w:tc>
      </w:tr>
      <w:tr w:rsidR="008E77E5" w:rsidRPr="00331875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2: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E77E5" w:rsidRPr="00331875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33187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331875" w:rsidRDefault="008E7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331875" w:rsidRDefault="006F6CA9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8E77E5" w:rsidRPr="00331875">
        <w:trPr>
          <w:trHeight w:val="405"/>
        </w:trPr>
        <w:tc>
          <w:tcPr>
            <w:tcW w:w="3720" w:type="dxa"/>
          </w:tcPr>
          <w:p w:rsidR="008E77E5" w:rsidRPr="00331875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331875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331875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>
        <w:trPr>
          <w:trHeight w:val="1472"/>
        </w:trPr>
        <w:tc>
          <w:tcPr>
            <w:tcW w:w="3720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331875" w:rsidRDefault="006F6CA9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they need to learn and to</w:t>
            </w:r>
          </w:p>
          <w:p w:rsidR="008E77E5" w:rsidRPr="00331875" w:rsidRDefault="006F6CA9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  <w:p w:rsidR="007730C0" w:rsidRPr="00331875" w:rsidRDefault="007730C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7730C0" w:rsidRPr="00331875" w:rsidRDefault="007730C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8E77E5" w:rsidRPr="00331875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Evidence of impact: what do pupils now know and what can</w:t>
            </w:r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 xml:space="preserve"> </w:t>
            </w:r>
            <w:proofErr w:type="gramStart"/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proofErr w:type="gramEnd"/>
            <w:r w:rsidR="004853E3">
              <w:rPr>
                <w:rFonts w:asciiTheme="minorHAnsi" w:hAnsiTheme="minorHAnsi" w:cstheme="minorHAnsi"/>
                <w:color w:val="231F20"/>
                <w:sz w:val="24"/>
              </w:rPr>
              <w:t xml:space="preserve"> now do? What has changed?</w:t>
            </w:r>
          </w:p>
        </w:tc>
        <w:tc>
          <w:tcPr>
            <w:tcW w:w="3134" w:type="dxa"/>
          </w:tcPr>
          <w:p w:rsidR="008E77E5" w:rsidRPr="00331875" w:rsidRDefault="006F6CA9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331875" w:rsidTr="005A301B">
        <w:trPr>
          <w:trHeight w:val="1690"/>
        </w:trPr>
        <w:tc>
          <w:tcPr>
            <w:tcW w:w="3720" w:type="dxa"/>
            <w:shd w:val="clear" w:color="auto" w:fill="FFFFFF" w:themeFill="background1"/>
          </w:tcPr>
          <w:p w:rsidR="009829F2" w:rsidRPr="005A301B" w:rsidRDefault="004853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A301B">
              <w:rPr>
                <w:rFonts w:asciiTheme="minorHAnsi" w:hAnsiTheme="minorHAnsi" w:cstheme="minorHAnsi"/>
                <w:sz w:val="24"/>
              </w:rPr>
              <w:t>To train sport leaders to raise the profile of activity levels in the school.</w:t>
            </w: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730C0" w:rsidRPr="005A301B" w:rsidRDefault="007730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8E77E5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A301B">
              <w:rPr>
                <w:rFonts w:asciiTheme="minorHAnsi" w:hAnsiTheme="minorHAnsi" w:cstheme="minorHAnsi"/>
                <w:sz w:val="24"/>
              </w:rPr>
              <w:t>Children to attend Sport Leadership training then implement within school.</w:t>
            </w: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A301B">
              <w:rPr>
                <w:rFonts w:asciiTheme="minorHAnsi" w:hAnsiTheme="minorHAnsi" w:cstheme="minorHAnsi"/>
                <w:sz w:val="24"/>
              </w:rPr>
              <w:t>Provide Sports Leaders with caps and hoodies so they are easily identifiable in their role.</w:t>
            </w: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730C0" w:rsidRPr="005A301B" w:rsidRDefault="007730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8E77E5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A301B">
              <w:rPr>
                <w:rFonts w:asciiTheme="minorHAnsi" w:hAnsiTheme="minorHAnsi" w:cstheme="minorHAnsi"/>
                <w:sz w:val="24"/>
              </w:rPr>
              <w:t>£6</w:t>
            </w:r>
            <w:r w:rsidR="009829F2" w:rsidRPr="005A301B">
              <w:rPr>
                <w:rFonts w:asciiTheme="minorHAnsi" w:hAnsiTheme="minorHAnsi" w:cstheme="minorHAnsi"/>
                <w:sz w:val="24"/>
              </w:rPr>
              <w:t>00</w:t>
            </w: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829F2" w:rsidRPr="005A301B" w:rsidRDefault="009829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E41FD" w:rsidRPr="005A301B" w:rsidRDefault="007E41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730C0" w:rsidRPr="005A301B" w:rsidRDefault="007730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8E77E5" w:rsidRPr="00331875" w:rsidRDefault="004853E3" w:rsidP="004802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sport leaders are more visible when carrying out their role around school.</w:t>
            </w:r>
            <w:r w:rsidR="004802FC">
              <w:rPr>
                <w:rFonts w:asciiTheme="minorHAnsi" w:hAnsiTheme="minorHAnsi" w:cstheme="minorHAnsi"/>
                <w:sz w:val="24"/>
              </w:rPr>
              <w:t xml:space="preserve"> This has given the sport leaders a sense of ownership. </w:t>
            </w:r>
          </w:p>
        </w:tc>
        <w:tc>
          <w:tcPr>
            <w:tcW w:w="3134" w:type="dxa"/>
          </w:tcPr>
          <w:p w:rsidR="008E77E5" w:rsidRDefault="004853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SSP to provide training to the next cohort of sport leaders.</w:t>
            </w:r>
          </w:p>
          <w:p w:rsidR="004802FC" w:rsidRPr="00331875" w:rsidRDefault="004802FC" w:rsidP="004802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use Pupil Voice to monitor other children’s awareness of the profile of sport in the school. </w:t>
            </w:r>
          </w:p>
        </w:tc>
      </w:tr>
    </w:tbl>
    <w:p w:rsidR="008E77E5" w:rsidRPr="00331875" w:rsidRDefault="008E77E5">
      <w:pPr>
        <w:rPr>
          <w:rFonts w:asciiTheme="minorHAnsi" w:hAnsiTheme="minorHAnsi" w:cstheme="minorHAnsi"/>
          <w:sz w:val="24"/>
        </w:rPr>
        <w:sectPr w:rsidR="008E77E5" w:rsidRPr="00331875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331875">
        <w:trPr>
          <w:trHeight w:val="383"/>
        </w:trPr>
        <w:tc>
          <w:tcPr>
            <w:tcW w:w="12302" w:type="dxa"/>
            <w:gridSpan w:val="4"/>
            <w:vMerge w:val="restart"/>
          </w:tcPr>
          <w:p w:rsidR="008E77E5" w:rsidRPr="00331875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8E77E5" w:rsidRPr="00331875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331875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331875" w:rsidRDefault="008E7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331875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8E77E5" w:rsidRPr="00331875">
        <w:trPr>
          <w:trHeight w:val="405"/>
        </w:trPr>
        <w:tc>
          <w:tcPr>
            <w:tcW w:w="3758" w:type="dxa"/>
          </w:tcPr>
          <w:p w:rsidR="008E77E5" w:rsidRPr="00331875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331875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331875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8E77E5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77E5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changed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77E5" w:rsidRPr="00331875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E77E5" w:rsidRPr="00331875" w:rsidRDefault="006F6CA9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2F52" w:rsidRPr="00331875">
        <w:trPr>
          <w:trHeight w:val="2049"/>
        </w:trPr>
        <w:tc>
          <w:tcPr>
            <w:tcW w:w="3758" w:type="dxa"/>
          </w:tcPr>
          <w:p w:rsidR="009C2F52" w:rsidRPr="00331875" w:rsidRDefault="009C2F52" w:rsidP="009C2F52">
            <w:pPr>
              <w:pStyle w:val="Default"/>
              <w:rPr>
                <w:rFonts w:asciiTheme="minorHAnsi" w:hAnsiTheme="minorHAnsi" w:cstheme="minorHAnsi"/>
              </w:rPr>
            </w:pPr>
            <w:r w:rsidRPr="00331875">
              <w:rPr>
                <w:rFonts w:asciiTheme="minorHAnsi" w:hAnsiTheme="minorHAnsi" w:cstheme="minorHAnsi"/>
                <w:sz w:val="23"/>
                <w:szCs w:val="23"/>
              </w:rPr>
              <w:t xml:space="preserve">Ensure staff are trained by accessing CPD training courses. </w:t>
            </w:r>
          </w:p>
        </w:tc>
        <w:tc>
          <w:tcPr>
            <w:tcW w:w="3458" w:type="dxa"/>
          </w:tcPr>
          <w:p w:rsidR="009C2F52" w:rsidRDefault="009C2F52" w:rsidP="009C2F52">
            <w:r w:rsidRPr="009C2F52">
              <w:t xml:space="preserve">Purchase new planning resources – Complete PE – to improve sequencing and progression across school. </w:t>
            </w:r>
            <w:r>
              <w:t xml:space="preserve">PE leads to lead CPD. </w:t>
            </w:r>
          </w:p>
          <w:p w:rsidR="001329D1" w:rsidRDefault="001329D1" w:rsidP="009C2F52"/>
          <w:p w:rsidR="001329D1" w:rsidRPr="009C2F52" w:rsidRDefault="001329D1" w:rsidP="009C2F52">
            <w:r>
              <w:t>Lunchtime supervisors to receive training on implementing playground activities.</w:t>
            </w:r>
          </w:p>
        </w:tc>
        <w:tc>
          <w:tcPr>
            <w:tcW w:w="1663" w:type="dxa"/>
          </w:tcPr>
          <w:p w:rsidR="009C2F52" w:rsidRPr="009C2F52" w:rsidRDefault="009C2F52" w:rsidP="009C2F52">
            <w:r w:rsidRPr="009C2F52">
              <w:t>£2200.35</w:t>
            </w:r>
          </w:p>
        </w:tc>
        <w:tc>
          <w:tcPr>
            <w:tcW w:w="3423" w:type="dxa"/>
          </w:tcPr>
          <w:p w:rsidR="009C2F52" w:rsidRDefault="00136C3F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are now more familiar with planning a sequence of PE </w:t>
            </w:r>
            <w:r w:rsidR="001329D1">
              <w:rPr>
                <w:rFonts w:asciiTheme="minorHAnsi" w:hAnsiTheme="minorHAnsi" w:cstheme="minorHAnsi"/>
                <w:sz w:val="24"/>
              </w:rPr>
              <w:t>l</w:t>
            </w:r>
            <w:r>
              <w:rPr>
                <w:rFonts w:asciiTheme="minorHAnsi" w:hAnsiTheme="minorHAnsi" w:cstheme="minorHAnsi"/>
                <w:sz w:val="24"/>
              </w:rPr>
              <w:t>essons. They now have a better awareness of the progression of skills in PE.</w:t>
            </w:r>
          </w:p>
          <w:p w:rsidR="001329D1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329D1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Lunchtime supervisors are now </w:t>
            </w:r>
          </w:p>
          <w:p w:rsidR="001329D1" w:rsidRPr="00331875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more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confident at incorporating sporting activities during unstructured playtimes.</w:t>
            </w:r>
          </w:p>
        </w:tc>
        <w:tc>
          <w:tcPr>
            <w:tcW w:w="3076" w:type="dxa"/>
          </w:tcPr>
          <w:p w:rsidR="009C2F52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Give staff more training on the assessment of PE using Complete PE.</w:t>
            </w:r>
          </w:p>
          <w:p w:rsidR="001329D1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329D1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329D1" w:rsidRPr="00331875" w:rsidRDefault="001329D1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Ensure new lunchtime supervisors receive training from existing staff. </w:t>
            </w:r>
          </w:p>
        </w:tc>
      </w:tr>
      <w:tr w:rsidR="009C2F52" w:rsidRPr="00331875">
        <w:trPr>
          <w:trHeight w:val="305"/>
        </w:trPr>
        <w:tc>
          <w:tcPr>
            <w:tcW w:w="12302" w:type="dxa"/>
            <w:gridSpan w:val="4"/>
            <w:vMerge w:val="restart"/>
          </w:tcPr>
          <w:p w:rsidR="009C2F52" w:rsidRPr="00331875" w:rsidRDefault="009C2F52" w:rsidP="009C2F52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4: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9C2F52" w:rsidRPr="00331875" w:rsidRDefault="009C2F52" w:rsidP="009C2F52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9C2F52" w:rsidRPr="00331875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C2F52" w:rsidRPr="00331875" w:rsidRDefault="009C2F52" w:rsidP="009C2F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C2F52" w:rsidRPr="00331875" w:rsidRDefault="009C2F52" w:rsidP="009C2F52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9C2F52" w:rsidRPr="00331875">
        <w:trPr>
          <w:trHeight w:val="397"/>
        </w:trPr>
        <w:tc>
          <w:tcPr>
            <w:tcW w:w="3758" w:type="dxa"/>
          </w:tcPr>
          <w:p w:rsidR="009C2F52" w:rsidRPr="00331875" w:rsidRDefault="009C2F52" w:rsidP="009C2F52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C2F52" w:rsidRPr="00331875" w:rsidRDefault="009C2F52" w:rsidP="009C2F52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C2F52" w:rsidRPr="00331875" w:rsidRDefault="009C2F52" w:rsidP="009C2F52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F52" w:rsidRPr="00331875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</w:tc>
      </w:tr>
      <w:tr w:rsidR="009C2F52" w:rsidRPr="0033187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9C2F52" w:rsidRPr="0033187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2F52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changed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2F52" w:rsidRPr="00331875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C2F52" w:rsidRPr="00331875" w:rsidRDefault="009C2F52" w:rsidP="009C2F52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C2F52" w:rsidRPr="00331875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2F52" w:rsidRPr="00331875">
        <w:trPr>
          <w:trHeight w:val="2172"/>
        </w:trPr>
        <w:tc>
          <w:tcPr>
            <w:tcW w:w="37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4"/>
            </w:tblGrid>
            <w:tr w:rsidR="009C2F52" w:rsidRPr="00331875">
              <w:trPr>
                <w:trHeight w:val="890"/>
              </w:trPr>
              <w:tc>
                <w:tcPr>
                  <w:tcW w:w="3654" w:type="dxa"/>
                </w:tcPr>
                <w:p w:rsidR="009C2F52" w:rsidRPr="00331875" w:rsidRDefault="009C2F52" w:rsidP="009C2F52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331875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Specialist coaches to work with children allowing them to experience a wide range of sports and activities. </w:t>
                  </w:r>
                </w:p>
                <w:p w:rsidR="009C2F52" w:rsidRPr="00331875" w:rsidRDefault="009C2F52" w:rsidP="009C2F52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331875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Maintain equipment to support PE, games and other physical activities. </w:t>
                  </w:r>
                </w:p>
              </w:tc>
            </w:tr>
          </w:tbl>
          <w:p w:rsidR="009C2F52" w:rsidRPr="00331875" w:rsidRDefault="009C2F52" w:rsidP="009C2F52">
            <w:pPr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:rsidR="009C2F52" w:rsidRPr="00331875" w:rsidRDefault="009C2F52" w:rsidP="009C2F52">
            <w:pPr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9C2F52" w:rsidRDefault="009C2F52" w:rsidP="009C2F52">
            <w:pPr>
              <w:pStyle w:val="Default"/>
              <w:rPr>
                <w:rFonts w:asciiTheme="minorHAnsi" w:hAnsiTheme="minorHAnsi" w:cstheme="minorHAnsi"/>
              </w:rPr>
            </w:pPr>
            <w:r w:rsidRPr="009C2F52">
              <w:rPr>
                <w:rFonts w:asciiTheme="minorHAnsi" w:hAnsiTheme="minorHAnsi" w:cstheme="minorHAnsi"/>
              </w:rPr>
              <w:t xml:space="preserve">Children across school access high intensity training </w:t>
            </w:r>
            <w:r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</w:rPr>
              <w:t>multisports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9C2F52">
              <w:rPr>
                <w:rFonts w:asciiTheme="minorHAnsi" w:hAnsiTheme="minorHAnsi" w:cstheme="minorHAnsi"/>
              </w:rPr>
              <w:t>to offset sedentary learning post lockdown</w:t>
            </w:r>
            <w:r>
              <w:rPr>
                <w:rFonts w:asciiTheme="minorHAnsi" w:hAnsiTheme="minorHAnsi" w:cstheme="minorHAnsi"/>
              </w:rPr>
              <w:t xml:space="preserve"> and promote different sports and skills</w:t>
            </w:r>
            <w:r w:rsidRPr="009C2F52">
              <w:rPr>
                <w:rFonts w:asciiTheme="minorHAnsi" w:hAnsiTheme="minorHAnsi" w:cstheme="minorHAnsi"/>
              </w:rPr>
              <w:t>. Li</w:t>
            </w:r>
            <w:r w:rsidR="00760429">
              <w:rPr>
                <w:rFonts w:asciiTheme="minorHAnsi" w:hAnsiTheme="minorHAnsi" w:cstheme="minorHAnsi"/>
              </w:rPr>
              <w:t>ve It Get Active, Health and Fitn</w:t>
            </w:r>
            <w:r w:rsidRPr="009C2F52">
              <w:rPr>
                <w:rFonts w:asciiTheme="minorHAnsi" w:hAnsiTheme="minorHAnsi" w:cstheme="minorHAnsi"/>
              </w:rPr>
              <w:t>ess coaches, to work with children in March and April 2021.</w:t>
            </w:r>
          </w:p>
          <w:p w:rsidR="002C3D62" w:rsidRDefault="002C3D62" w:rsidP="009C2F52">
            <w:pPr>
              <w:pStyle w:val="Default"/>
              <w:rPr>
                <w:rFonts w:asciiTheme="minorHAnsi" w:hAnsiTheme="minorHAnsi" w:cstheme="minorHAnsi"/>
              </w:rPr>
            </w:pPr>
          </w:p>
          <w:p w:rsidR="002C3D62" w:rsidRPr="00331875" w:rsidRDefault="002C3D62" w:rsidP="009C2F5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Upper KS2 children in the Rugby World Cup project.</w:t>
            </w:r>
          </w:p>
        </w:tc>
        <w:tc>
          <w:tcPr>
            <w:tcW w:w="1663" w:type="dxa"/>
          </w:tcPr>
          <w:p w:rsidR="009C2F52" w:rsidRDefault="009C2F5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C2F52">
              <w:rPr>
                <w:rFonts w:asciiTheme="minorHAnsi" w:hAnsiTheme="minorHAnsi" w:cstheme="minorHAnsi"/>
                <w:sz w:val="24"/>
              </w:rPr>
              <w:t>£1789.65</w:t>
            </w: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C3D62" w:rsidRPr="00331875" w:rsidRDefault="002C3D62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£1300</w:t>
            </w:r>
          </w:p>
        </w:tc>
        <w:tc>
          <w:tcPr>
            <w:tcW w:w="3423" w:type="dxa"/>
          </w:tcPr>
          <w:p w:rsidR="009C2F52" w:rsidRDefault="00760429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are now more aware of adopting a healthy lifestyle and have a greater </w:t>
            </w:r>
            <w:r w:rsidR="00F7407E">
              <w:rPr>
                <w:rFonts w:asciiTheme="minorHAnsi" w:hAnsiTheme="minorHAnsi" w:cstheme="minorHAnsi"/>
                <w:sz w:val="24"/>
              </w:rPr>
              <w:t xml:space="preserve">understanding of </w:t>
            </w:r>
            <w:r>
              <w:rPr>
                <w:rFonts w:asciiTheme="minorHAnsi" w:hAnsiTheme="minorHAnsi" w:cstheme="minorHAnsi"/>
                <w:sz w:val="24"/>
              </w:rPr>
              <w:t>the beneficial impact of a nutritious diet.</w:t>
            </w:r>
          </w:p>
          <w:p w:rsidR="00F7407E" w:rsidRDefault="00F7407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accessed a range of sports during these fitness sessions.</w:t>
            </w:r>
          </w:p>
          <w:p w:rsidR="00760429" w:rsidRDefault="00760429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7407E" w:rsidRPr="00331875" w:rsidRDefault="00DA219E" w:rsidP="00DA21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More children are aware of rugby provision in the local area. </w:t>
            </w:r>
          </w:p>
        </w:tc>
        <w:tc>
          <w:tcPr>
            <w:tcW w:w="3076" w:type="dxa"/>
          </w:tcPr>
          <w:p w:rsidR="009C2F52" w:rsidRDefault="00F7407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Live it and Get Active return to school to work with the next cohort of children.</w:t>
            </w: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DA219E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opportunities for children to represent the school in Rugby.</w:t>
            </w:r>
          </w:p>
          <w:p w:rsidR="00DA219E" w:rsidRPr="00331875" w:rsidRDefault="00DA219E" w:rsidP="009C2F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Maintain contact with Newcastle thunder for future activities.</w:t>
            </w:r>
          </w:p>
        </w:tc>
      </w:tr>
    </w:tbl>
    <w:p w:rsidR="008E77E5" w:rsidRPr="00331875" w:rsidRDefault="008E77E5">
      <w:pPr>
        <w:rPr>
          <w:rFonts w:asciiTheme="minorHAnsi" w:hAnsiTheme="minorHAnsi" w:cstheme="minorHAnsi"/>
          <w:sz w:val="24"/>
        </w:rPr>
        <w:sectPr w:rsidR="008E77E5" w:rsidRPr="0033187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331875">
        <w:trPr>
          <w:trHeight w:val="352"/>
        </w:trPr>
        <w:tc>
          <w:tcPr>
            <w:tcW w:w="12302" w:type="dxa"/>
            <w:gridSpan w:val="4"/>
            <w:vMerge w:val="restart"/>
          </w:tcPr>
          <w:p w:rsidR="008E77E5" w:rsidRPr="00331875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5: </w:t>
            </w:r>
            <w:r w:rsidRPr="00331875">
              <w:rPr>
                <w:rFonts w:asciiTheme="minorHAnsi" w:hAnsiTheme="minorHAnsi" w:cstheme="minorHAnsi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8E77E5" w:rsidRPr="00331875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331875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331875" w:rsidRDefault="008E7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331875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8E77E5" w:rsidRPr="00331875">
        <w:trPr>
          <w:trHeight w:val="402"/>
        </w:trPr>
        <w:tc>
          <w:tcPr>
            <w:tcW w:w="3758" w:type="dxa"/>
          </w:tcPr>
          <w:p w:rsidR="008E77E5" w:rsidRPr="00331875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331875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331875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31875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7E5" w:rsidRPr="00331875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331875" w:rsidRDefault="006F6CA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33187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</w:tc>
      </w:tr>
      <w:tr w:rsidR="008E77E5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77E5" w:rsidRPr="0033187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331875" w:rsidRDefault="006F6CA9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changed</w:t>
            </w:r>
            <w:proofErr w:type="gramEnd"/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77E5" w:rsidRPr="00331875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8E77E5" w:rsidRPr="00331875" w:rsidRDefault="006F6CA9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77E5" w:rsidRPr="00331875">
        <w:trPr>
          <w:trHeight w:val="2134"/>
        </w:trPr>
        <w:tc>
          <w:tcPr>
            <w:tcW w:w="37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0"/>
            </w:tblGrid>
            <w:tr w:rsidR="00487442" w:rsidRPr="00331875">
              <w:trPr>
                <w:trHeight w:val="385"/>
              </w:trPr>
              <w:tc>
                <w:tcPr>
                  <w:tcW w:w="3590" w:type="dxa"/>
                </w:tcPr>
                <w:p w:rsidR="00487442" w:rsidRPr="00331875" w:rsidRDefault="00487442" w:rsidP="009C2F52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331875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Participate in a range of competitions and festivals organised by </w:t>
                  </w:r>
                  <w:r w:rsidR="009C2F52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  <w:lang w:eastAsia="en-US" w:bidi="ar-SA"/>
                    </w:rPr>
                    <w:t>school in class and year group Bubbles (in line with Covid-19 risk assessments).</w:t>
                  </w:r>
                </w:p>
              </w:tc>
            </w:tr>
          </w:tbl>
          <w:p w:rsidR="00785358" w:rsidRPr="00331875" w:rsidRDefault="00487442" w:rsidP="00785358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785358" w:rsidRPr="00331875" w:rsidRDefault="00785358" w:rsidP="00785358">
            <w:pPr>
              <w:rPr>
                <w:rFonts w:asciiTheme="minorHAnsi" w:hAnsiTheme="minorHAnsi" w:cstheme="minorHAnsi"/>
                <w:sz w:val="24"/>
              </w:rPr>
            </w:pPr>
          </w:p>
          <w:p w:rsidR="008E77E5" w:rsidRPr="00331875" w:rsidRDefault="008E77E5" w:rsidP="007853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487442" w:rsidRPr="00331875" w:rsidRDefault="002C3D6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certificates and trophies for intra sport competitions. </w:t>
            </w:r>
          </w:p>
        </w:tc>
        <w:tc>
          <w:tcPr>
            <w:tcW w:w="1663" w:type="dxa"/>
          </w:tcPr>
          <w:p w:rsidR="00310E11" w:rsidRPr="00331875" w:rsidRDefault="002C3D6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£100</w:t>
            </w:r>
          </w:p>
        </w:tc>
        <w:tc>
          <w:tcPr>
            <w:tcW w:w="3423" w:type="dxa"/>
          </w:tcPr>
          <w:p w:rsidR="008E77E5" w:rsidRDefault="00DA21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competed in intra bubble competitions</w:t>
            </w:r>
            <w:r w:rsidR="0082480A">
              <w:rPr>
                <w:rFonts w:asciiTheme="minorHAnsi" w:hAnsiTheme="minorHAnsi" w:cstheme="minorHAnsi"/>
                <w:sz w:val="24"/>
              </w:rPr>
              <w:t>.</w:t>
            </w:r>
          </w:p>
          <w:p w:rsidR="0082480A" w:rsidRPr="00331875" w:rsidRDefault="0082480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been engaged in competitive sport which has increased their levels of engagement, sportsmanship and team spirit.</w:t>
            </w:r>
          </w:p>
        </w:tc>
        <w:tc>
          <w:tcPr>
            <w:tcW w:w="30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9"/>
            </w:tblGrid>
            <w:tr w:rsidR="003A6484" w:rsidRPr="003A6484">
              <w:trPr>
                <w:trHeight w:val="799"/>
              </w:trPr>
              <w:tc>
                <w:tcPr>
                  <w:tcW w:w="2819" w:type="dxa"/>
                </w:tcPr>
                <w:p w:rsidR="003A6484" w:rsidRPr="003A6484" w:rsidRDefault="003A6484" w:rsidP="003A648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3A6484"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Ensure inter-house competitions are scheduled throughout the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  <w:t xml:space="preserve">year. Support sport leaders </w:t>
                  </w:r>
                  <w:r w:rsidRPr="003A6484">
                    <w:rPr>
                      <w:rFonts w:eastAsiaTheme="minorHAnsi"/>
                      <w:color w:val="000000"/>
                      <w:sz w:val="23"/>
                      <w:szCs w:val="23"/>
                      <w:lang w:eastAsia="en-US" w:bidi="ar-SA"/>
                    </w:rPr>
                    <w:t>with the planning and delivery of competitions and personal challenges.</w:t>
                  </w:r>
                </w:p>
              </w:tc>
            </w:tr>
          </w:tbl>
          <w:p w:rsidR="008E77E5" w:rsidRPr="00331875" w:rsidRDefault="008E77E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E77E5" w:rsidRPr="00331875" w:rsidRDefault="008E77E5">
      <w:pPr>
        <w:pStyle w:val="BodyText"/>
        <w:rPr>
          <w:rFonts w:asciiTheme="minorHAnsi" w:hAnsiTheme="minorHAnsi" w:cstheme="minorHAnsi"/>
          <w:sz w:val="20"/>
        </w:rPr>
      </w:pPr>
    </w:p>
    <w:p w:rsidR="008E77E5" w:rsidRPr="00331875" w:rsidRDefault="008E77E5">
      <w:pPr>
        <w:pStyle w:val="BodyText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:rsidRPr="00331875">
        <w:trPr>
          <w:trHeight w:val="463"/>
        </w:trPr>
        <w:tc>
          <w:tcPr>
            <w:tcW w:w="7660" w:type="dxa"/>
            <w:gridSpan w:val="2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Signed off by</w:t>
            </w:r>
          </w:p>
        </w:tc>
      </w:tr>
      <w:tr w:rsidR="008E77E5" w:rsidRPr="00331875">
        <w:trPr>
          <w:trHeight w:val="452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8E77E5" w:rsidRPr="00331875" w:rsidRDefault="002E6C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331875">
              <w:rPr>
                <w:rFonts w:asciiTheme="minorHAnsi" w:hAnsiTheme="minorHAnsi" w:cstheme="minorHAnsi"/>
                <w:sz w:val="24"/>
              </w:rPr>
              <w:t>C.Park</w:t>
            </w:r>
            <w:proofErr w:type="spellEnd"/>
          </w:p>
        </w:tc>
      </w:tr>
      <w:tr w:rsidR="008E77E5" w:rsidRPr="00331875">
        <w:trPr>
          <w:trHeight w:val="432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331875" w:rsidRDefault="00D11A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17.3.21</w:t>
            </w:r>
          </w:p>
        </w:tc>
      </w:tr>
      <w:tr w:rsidR="008E77E5" w:rsidRPr="00331875">
        <w:trPr>
          <w:trHeight w:val="461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8E77E5" w:rsidRPr="00331875" w:rsidRDefault="002E6C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M. Whitecross and C. Danby</w:t>
            </w:r>
          </w:p>
        </w:tc>
      </w:tr>
      <w:tr w:rsidR="008E77E5" w:rsidRPr="00331875">
        <w:trPr>
          <w:trHeight w:val="451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331875" w:rsidRDefault="00D11A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17.3.21</w:t>
            </w:r>
          </w:p>
        </w:tc>
      </w:tr>
      <w:tr w:rsidR="008E77E5" w:rsidRPr="00331875">
        <w:trPr>
          <w:trHeight w:val="451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8E77E5" w:rsidRPr="00331875" w:rsidRDefault="002E6C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sz w:val="24"/>
              </w:rPr>
              <w:t>K. Stevens</w:t>
            </w:r>
          </w:p>
        </w:tc>
      </w:tr>
      <w:tr w:rsidR="008E77E5" w:rsidRPr="00331875">
        <w:trPr>
          <w:trHeight w:val="451"/>
        </w:trPr>
        <w:tc>
          <w:tcPr>
            <w:tcW w:w="1708" w:type="dxa"/>
          </w:tcPr>
          <w:p w:rsidR="008E77E5" w:rsidRPr="00331875" w:rsidRDefault="006F6CA9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33187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331875" w:rsidRDefault="00D11A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17.3.21</w:t>
            </w:r>
          </w:p>
        </w:tc>
      </w:tr>
    </w:tbl>
    <w:p w:rsidR="006F6CA9" w:rsidRPr="00331875" w:rsidRDefault="006F6CA9">
      <w:pPr>
        <w:rPr>
          <w:rFonts w:asciiTheme="minorHAnsi" w:hAnsiTheme="minorHAnsi" w:cstheme="minorHAnsi"/>
        </w:rPr>
      </w:pPr>
    </w:p>
    <w:sectPr w:rsidR="006F6CA9" w:rsidRPr="00331875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A9" w:rsidRDefault="006F6CA9">
      <w:r>
        <w:separator/>
      </w:r>
    </w:p>
  </w:endnote>
  <w:endnote w:type="continuationSeparator" w:id="0">
    <w:p w:rsidR="006F6CA9" w:rsidRDefault="006F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A9" w:rsidRDefault="006F6CA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3B5C84AE" wp14:editId="675AD1B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222B3BE9" wp14:editId="6FA60D7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50608F49" wp14:editId="2365CEB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13B92618" wp14:editId="40F71CBE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927">
      <w:rPr>
        <w:noProof/>
        <w:lang w:bidi="ar-SA"/>
      </w:rPr>
      <mc:AlternateContent>
        <mc:Choice Requires="wpg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29CDB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63167D70" wp14:editId="70D71869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92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092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Bh3O6r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A9" w:rsidRDefault="006F6CA9">
      <w:r>
        <w:separator/>
      </w:r>
    </w:p>
  </w:footnote>
  <w:footnote w:type="continuationSeparator" w:id="0">
    <w:p w:rsidR="006F6CA9" w:rsidRDefault="006F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5"/>
    <w:rsid w:val="0003095D"/>
    <w:rsid w:val="000E783B"/>
    <w:rsid w:val="001329D1"/>
    <w:rsid w:val="00136C3F"/>
    <w:rsid w:val="001F1BFD"/>
    <w:rsid w:val="001F4337"/>
    <w:rsid w:val="002C3D62"/>
    <w:rsid w:val="002E6C80"/>
    <w:rsid w:val="00306B97"/>
    <w:rsid w:val="00310E11"/>
    <w:rsid w:val="00331875"/>
    <w:rsid w:val="00347EFA"/>
    <w:rsid w:val="003A6484"/>
    <w:rsid w:val="00421454"/>
    <w:rsid w:val="00422CAF"/>
    <w:rsid w:val="004802FC"/>
    <w:rsid w:val="004853E3"/>
    <w:rsid w:val="00487442"/>
    <w:rsid w:val="00522D51"/>
    <w:rsid w:val="00537F19"/>
    <w:rsid w:val="005A301B"/>
    <w:rsid w:val="005A6EA5"/>
    <w:rsid w:val="005C2A5F"/>
    <w:rsid w:val="00677C6D"/>
    <w:rsid w:val="006B2D01"/>
    <w:rsid w:val="006E1A51"/>
    <w:rsid w:val="006F6CA9"/>
    <w:rsid w:val="00723B91"/>
    <w:rsid w:val="00733047"/>
    <w:rsid w:val="00760429"/>
    <w:rsid w:val="007730C0"/>
    <w:rsid w:val="00781DB4"/>
    <w:rsid w:val="00785358"/>
    <w:rsid w:val="007A312C"/>
    <w:rsid w:val="007C40FA"/>
    <w:rsid w:val="007E41FD"/>
    <w:rsid w:val="0081569E"/>
    <w:rsid w:val="0082480A"/>
    <w:rsid w:val="008642F1"/>
    <w:rsid w:val="00865C63"/>
    <w:rsid w:val="008E77E5"/>
    <w:rsid w:val="00946A02"/>
    <w:rsid w:val="009829F2"/>
    <w:rsid w:val="0099663D"/>
    <w:rsid w:val="009C2F52"/>
    <w:rsid w:val="00A60466"/>
    <w:rsid w:val="00A97E5E"/>
    <w:rsid w:val="00B04F33"/>
    <w:rsid w:val="00BC3323"/>
    <w:rsid w:val="00C562A9"/>
    <w:rsid w:val="00C65A44"/>
    <w:rsid w:val="00D034B6"/>
    <w:rsid w:val="00D11A16"/>
    <w:rsid w:val="00DA219E"/>
    <w:rsid w:val="00DD395D"/>
    <w:rsid w:val="00E36AE5"/>
    <w:rsid w:val="00E46FAB"/>
    <w:rsid w:val="00E84C93"/>
    <w:rsid w:val="00EE14B3"/>
    <w:rsid w:val="00F3118F"/>
    <w:rsid w:val="00F7407E"/>
    <w:rsid w:val="00FA1DF9"/>
    <w:rsid w:val="00FA5C7F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163536"/>
  <w15:docId w15:val="{74F18244-2D08-4BB0-9008-3BD1688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6B2D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1366</Words>
  <Characters>7791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Pollard</dc:creator>
  <cp:lastModifiedBy>Catherine Yeronimou</cp:lastModifiedBy>
  <cp:revision>2</cp:revision>
  <dcterms:created xsi:type="dcterms:W3CDTF">2021-05-04T11:40:00Z</dcterms:created>
  <dcterms:modified xsi:type="dcterms:W3CDTF">2021-05-04T11:40:00Z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